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68E23" w14:textId="77777777" w:rsidR="00D70766" w:rsidRDefault="00D70766" w:rsidP="00426773">
      <w:pPr>
        <w:jc w:val="center"/>
        <w:rPr>
          <w:rFonts w:cs="Times New Roman"/>
          <w:b/>
          <w:szCs w:val="24"/>
        </w:rPr>
      </w:pPr>
    </w:p>
    <w:p w14:paraId="16785BCA" w14:textId="77777777" w:rsidR="00D70766" w:rsidRDefault="00D70766" w:rsidP="00426773">
      <w:pPr>
        <w:jc w:val="center"/>
        <w:rPr>
          <w:rFonts w:cs="Times New Roman"/>
          <w:b/>
          <w:szCs w:val="24"/>
        </w:rPr>
      </w:pPr>
    </w:p>
    <w:p w14:paraId="38D55132" w14:textId="0D47CC61" w:rsidR="005776CF" w:rsidRDefault="005776CF" w:rsidP="00426773">
      <w:pPr>
        <w:jc w:val="center"/>
        <w:rPr>
          <w:rFonts w:cs="Times New Roman"/>
          <w:b/>
          <w:szCs w:val="24"/>
        </w:rPr>
      </w:pPr>
      <w:r>
        <w:rPr>
          <w:rFonts w:cs="Times New Roman"/>
          <w:b/>
          <w:szCs w:val="24"/>
        </w:rPr>
        <w:t>Week 5 Discussion 2</w:t>
      </w:r>
      <w:r w:rsidR="001077EA">
        <w:rPr>
          <w:rFonts w:cs="Times New Roman"/>
          <w:b/>
          <w:szCs w:val="24"/>
        </w:rPr>
        <w:t xml:space="preserve">: </w:t>
      </w:r>
      <w:r w:rsidR="001077EA" w:rsidRPr="001077EA">
        <w:rPr>
          <w:rFonts w:cs="Times New Roman"/>
          <w:b/>
          <w:szCs w:val="24"/>
        </w:rPr>
        <w:t>The Legal Environment for Assessment</w:t>
      </w:r>
    </w:p>
    <w:p w14:paraId="40A14513" w14:textId="77777777" w:rsidR="00D70766" w:rsidRDefault="00D70766" w:rsidP="00426773">
      <w:pPr>
        <w:jc w:val="center"/>
        <w:rPr>
          <w:rFonts w:cs="Times New Roman"/>
          <w:szCs w:val="24"/>
        </w:rPr>
      </w:pPr>
    </w:p>
    <w:p w14:paraId="26E97736" w14:textId="226610DA" w:rsidR="00CF2F19" w:rsidRPr="00CF2F19" w:rsidRDefault="00CF2F19" w:rsidP="00426773">
      <w:pPr>
        <w:jc w:val="center"/>
        <w:rPr>
          <w:rFonts w:cs="Times New Roman"/>
          <w:szCs w:val="24"/>
        </w:rPr>
      </w:pPr>
      <w:r w:rsidRPr="00CF2F19">
        <w:rPr>
          <w:rFonts w:cs="Times New Roman"/>
          <w:szCs w:val="24"/>
        </w:rPr>
        <w:t>Student’s Name</w:t>
      </w:r>
    </w:p>
    <w:p w14:paraId="658F24BD" w14:textId="77777777" w:rsidR="00CF2F19" w:rsidRPr="00CF2F19" w:rsidRDefault="00CF2F19" w:rsidP="00426773">
      <w:pPr>
        <w:jc w:val="center"/>
        <w:rPr>
          <w:rFonts w:cs="Times New Roman"/>
          <w:szCs w:val="24"/>
        </w:rPr>
      </w:pPr>
      <w:r w:rsidRPr="00CF2F19">
        <w:rPr>
          <w:rFonts w:cs="Times New Roman"/>
          <w:szCs w:val="24"/>
        </w:rPr>
        <w:t>Department, University Name</w:t>
      </w:r>
    </w:p>
    <w:p w14:paraId="3F81437F" w14:textId="77777777" w:rsidR="00CF2F19" w:rsidRPr="00CF2F19" w:rsidRDefault="00CF2F19" w:rsidP="00426773">
      <w:pPr>
        <w:jc w:val="center"/>
        <w:rPr>
          <w:rFonts w:cs="Times New Roman"/>
          <w:szCs w:val="24"/>
        </w:rPr>
      </w:pPr>
      <w:r w:rsidRPr="00CF2F19">
        <w:rPr>
          <w:rFonts w:cs="Times New Roman"/>
          <w:szCs w:val="24"/>
        </w:rPr>
        <w:t>Course Code: Course Name</w:t>
      </w:r>
    </w:p>
    <w:p w14:paraId="5D073AFF" w14:textId="77777777" w:rsidR="00CF2F19" w:rsidRPr="00CF2F19" w:rsidRDefault="00CF2F19" w:rsidP="00426773">
      <w:pPr>
        <w:jc w:val="center"/>
        <w:rPr>
          <w:rFonts w:cs="Times New Roman"/>
          <w:szCs w:val="24"/>
        </w:rPr>
      </w:pPr>
      <w:r w:rsidRPr="00CF2F19">
        <w:rPr>
          <w:rFonts w:cs="Times New Roman"/>
          <w:szCs w:val="24"/>
        </w:rPr>
        <w:t>Instructor’s Name</w:t>
      </w:r>
    </w:p>
    <w:p w14:paraId="3E784485" w14:textId="04E90775" w:rsidR="00CF2F19" w:rsidRPr="00F76F1F" w:rsidRDefault="00CF2F19" w:rsidP="00426773">
      <w:pPr>
        <w:jc w:val="center"/>
        <w:rPr>
          <w:rFonts w:cs="Times New Roman"/>
          <w:szCs w:val="24"/>
        </w:rPr>
      </w:pPr>
      <w:r w:rsidRPr="00F76F1F">
        <w:rPr>
          <w:rFonts w:cs="Times New Roman"/>
          <w:szCs w:val="24"/>
        </w:rPr>
        <w:t>Date of Submission</w:t>
      </w:r>
    </w:p>
    <w:p w14:paraId="67AF3196" w14:textId="77777777" w:rsidR="00D70766" w:rsidRDefault="00D70766" w:rsidP="00426773">
      <w:pPr>
        <w:jc w:val="center"/>
        <w:rPr>
          <w:rFonts w:cs="Times New Roman"/>
          <w:b/>
          <w:szCs w:val="24"/>
        </w:rPr>
      </w:pPr>
      <w:r>
        <w:rPr>
          <w:rFonts w:cs="Times New Roman"/>
          <w:b/>
          <w:szCs w:val="24"/>
        </w:rPr>
        <w:br w:type="page"/>
      </w:r>
    </w:p>
    <w:p w14:paraId="1CE9CBF3" w14:textId="0E68DB3B" w:rsidR="00F76F1F" w:rsidRDefault="00CF2F19" w:rsidP="00426773">
      <w:pPr>
        <w:jc w:val="center"/>
        <w:rPr>
          <w:rFonts w:cs="Times New Roman"/>
          <w:b/>
          <w:szCs w:val="24"/>
        </w:rPr>
      </w:pPr>
      <w:r w:rsidRPr="00CF2F19">
        <w:rPr>
          <w:rFonts w:cs="Times New Roman"/>
          <w:b/>
          <w:szCs w:val="24"/>
        </w:rPr>
        <w:lastRenderedPageBreak/>
        <w:t>Week 5 Discussion 2: The Legal Environment for Assessment</w:t>
      </w:r>
    </w:p>
    <w:p w14:paraId="41BDCD55" w14:textId="595844C7" w:rsidR="00F76F1F" w:rsidRDefault="00650215" w:rsidP="00426773">
      <w:pPr>
        <w:ind w:firstLine="720"/>
      </w:pPr>
      <w:r w:rsidRPr="00C45B28">
        <w:rPr>
          <w:rFonts w:cs="Times New Roman"/>
          <w:szCs w:val="24"/>
        </w:rPr>
        <w:t>Legal and professional standards establish the basis against</w:t>
      </w:r>
      <w:r w:rsidR="00C45B28" w:rsidRPr="00C45B28">
        <w:rPr>
          <w:rFonts w:cs="Times New Roman"/>
          <w:szCs w:val="24"/>
        </w:rPr>
        <w:t xml:space="preserve"> </w:t>
      </w:r>
      <w:r w:rsidRPr="00C45B28">
        <w:rPr>
          <w:rFonts w:cs="Times New Roman"/>
          <w:szCs w:val="24"/>
        </w:rPr>
        <w:t>which the ad</w:t>
      </w:r>
      <w:r w:rsidR="00C45B28" w:rsidRPr="00C45B28">
        <w:rPr>
          <w:rFonts w:cs="Times New Roman"/>
          <w:szCs w:val="24"/>
        </w:rPr>
        <w:t xml:space="preserve">equacy of assessments is judged in the workplace. The current legal and professional standards are outlined by the </w:t>
      </w:r>
      <w:r w:rsidRPr="00C45B28">
        <w:rPr>
          <w:rFonts w:cs="Times New Roman"/>
          <w:i/>
          <w:iCs/>
          <w:szCs w:val="24"/>
        </w:rPr>
        <w:t>Uniform Guidelines on Employee</w:t>
      </w:r>
      <w:r w:rsidR="00C45B28" w:rsidRPr="00C45B28">
        <w:rPr>
          <w:rFonts w:cs="Times New Roman"/>
          <w:szCs w:val="24"/>
        </w:rPr>
        <w:t xml:space="preserve"> </w:t>
      </w:r>
      <w:r w:rsidRPr="00C45B28">
        <w:rPr>
          <w:rFonts w:cs="Times New Roman"/>
          <w:i/>
          <w:iCs/>
          <w:szCs w:val="24"/>
        </w:rPr>
        <w:t xml:space="preserve">Selection Procedures </w:t>
      </w:r>
      <w:r w:rsidRPr="00C45B28">
        <w:rPr>
          <w:rFonts w:cs="Times New Roman"/>
          <w:szCs w:val="24"/>
        </w:rPr>
        <w:t xml:space="preserve">(1978), the </w:t>
      </w:r>
      <w:r w:rsidRPr="00C45B28">
        <w:rPr>
          <w:rFonts w:cs="Times New Roman"/>
          <w:i/>
          <w:iCs/>
          <w:szCs w:val="24"/>
        </w:rPr>
        <w:t>Principles for the Validation and Use</w:t>
      </w:r>
      <w:r w:rsidR="00C45B28" w:rsidRPr="00C45B28">
        <w:rPr>
          <w:rFonts w:cs="Times New Roman"/>
          <w:szCs w:val="24"/>
        </w:rPr>
        <w:t xml:space="preserve"> </w:t>
      </w:r>
      <w:r w:rsidRPr="00C45B28">
        <w:rPr>
          <w:rFonts w:cs="Times New Roman"/>
          <w:i/>
          <w:iCs/>
          <w:szCs w:val="24"/>
        </w:rPr>
        <w:t xml:space="preserve">of Personnel Selection Procedures </w:t>
      </w:r>
      <w:r w:rsidRPr="00C45B28">
        <w:rPr>
          <w:rFonts w:cs="Times New Roman"/>
          <w:szCs w:val="24"/>
        </w:rPr>
        <w:t>(2003) developed by the Society</w:t>
      </w:r>
      <w:r w:rsidR="00C45B28" w:rsidRPr="00C45B28">
        <w:rPr>
          <w:rFonts w:cs="Times New Roman"/>
          <w:szCs w:val="24"/>
        </w:rPr>
        <w:t xml:space="preserve"> </w:t>
      </w:r>
      <w:r w:rsidRPr="00C45B28">
        <w:rPr>
          <w:rFonts w:cs="Times New Roman"/>
          <w:szCs w:val="24"/>
        </w:rPr>
        <w:t>for Industrial and Organizational Psychology (SIOP), and the</w:t>
      </w:r>
      <w:r w:rsidR="00C45B28" w:rsidRPr="00C45B28">
        <w:rPr>
          <w:rFonts w:cs="Times New Roman"/>
          <w:szCs w:val="24"/>
        </w:rPr>
        <w:t xml:space="preserve"> </w:t>
      </w:r>
      <w:r w:rsidRPr="00C45B28">
        <w:rPr>
          <w:rFonts w:cs="Times New Roman"/>
          <w:i/>
          <w:iCs/>
          <w:szCs w:val="24"/>
        </w:rPr>
        <w:t>Standards for Educational and Psychological Testing</w:t>
      </w:r>
      <w:r w:rsidR="005776CF">
        <w:rPr>
          <w:rFonts w:cs="Times New Roman"/>
          <w:i/>
          <w:iCs/>
          <w:szCs w:val="24"/>
        </w:rPr>
        <w:t xml:space="preserve"> </w:t>
      </w:r>
      <w:r w:rsidR="005776CF">
        <w:rPr>
          <w:rFonts w:cs="Times New Roman"/>
          <w:iCs/>
          <w:szCs w:val="24"/>
        </w:rPr>
        <w:t>(</w:t>
      </w:r>
      <w:r w:rsidR="005776CF" w:rsidRPr="00752A8E">
        <w:t>A</w:t>
      </w:r>
      <w:r w:rsidR="005776CF">
        <w:t>she</w:t>
      </w:r>
      <w:r w:rsidR="005776CF" w:rsidRPr="00752A8E">
        <w:t xml:space="preserve"> &amp; Lundquist</w:t>
      </w:r>
      <w:r w:rsidR="005776CF">
        <w:t>, 2010)</w:t>
      </w:r>
      <w:r w:rsidR="00C45B28">
        <w:rPr>
          <w:rFonts w:cs="Times New Roman"/>
          <w:i/>
          <w:iCs/>
          <w:szCs w:val="24"/>
        </w:rPr>
        <w:t xml:space="preserve">. </w:t>
      </w:r>
      <w:r w:rsidR="00C45B28">
        <w:rPr>
          <w:rFonts w:cs="Times New Roman"/>
          <w:iCs/>
          <w:szCs w:val="24"/>
        </w:rPr>
        <w:t>According to these standards, assessment tools must not be validate</w:t>
      </w:r>
      <w:r w:rsidR="005776CF">
        <w:rPr>
          <w:rFonts w:cs="Times New Roman"/>
          <w:iCs/>
          <w:szCs w:val="24"/>
        </w:rPr>
        <w:t>d</w:t>
      </w:r>
      <w:r w:rsidR="00C45B28">
        <w:rPr>
          <w:rFonts w:cs="Times New Roman"/>
          <w:iCs/>
          <w:szCs w:val="24"/>
        </w:rPr>
        <w:t xml:space="preserve"> unless they result in adverse impact</w:t>
      </w:r>
      <w:r w:rsidR="0094374B">
        <w:rPr>
          <w:rFonts w:cs="Times New Roman"/>
          <w:iCs/>
          <w:szCs w:val="24"/>
        </w:rPr>
        <w:t>s</w:t>
      </w:r>
      <w:r w:rsidR="00C45B28">
        <w:rPr>
          <w:rFonts w:cs="Times New Roman"/>
          <w:iCs/>
          <w:szCs w:val="24"/>
        </w:rPr>
        <w:t xml:space="preserve"> which can be proven. Furthermore, organizations should maintain validity data for any selection criteria which has been found to have an adverse impact</w:t>
      </w:r>
      <w:r w:rsidR="005776CF">
        <w:rPr>
          <w:rFonts w:cs="Times New Roman"/>
          <w:iCs/>
          <w:szCs w:val="24"/>
        </w:rPr>
        <w:t xml:space="preserve"> (</w:t>
      </w:r>
      <w:r w:rsidR="005776CF" w:rsidRPr="00752A8E">
        <w:t>A</w:t>
      </w:r>
      <w:r w:rsidR="005776CF">
        <w:t>she</w:t>
      </w:r>
      <w:r w:rsidR="005776CF" w:rsidRPr="00752A8E">
        <w:t xml:space="preserve"> &amp; Lundquist</w:t>
      </w:r>
      <w:r w:rsidR="005776CF">
        <w:t>, 2010)</w:t>
      </w:r>
      <w:r w:rsidR="00C45B28">
        <w:rPr>
          <w:rFonts w:cs="Times New Roman"/>
          <w:iCs/>
          <w:szCs w:val="24"/>
        </w:rPr>
        <w:t xml:space="preserve">. Regarding the development and validation of assessments, the standards support the enhancement of construct validation research. </w:t>
      </w:r>
      <w:r w:rsidR="00AD471E" w:rsidRPr="00AD471E">
        <w:t>An employer may use professionally</w:t>
      </w:r>
      <w:r w:rsidR="00AD471E">
        <w:t xml:space="preserve"> </w:t>
      </w:r>
      <w:r w:rsidR="00AD471E" w:rsidRPr="00AD471E">
        <w:t xml:space="preserve">developed tests as long as it </w:t>
      </w:r>
      <w:r w:rsidR="00AD471E">
        <w:t xml:space="preserve">does not do so with the purpose </w:t>
      </w:r>
      <w:r w:rsidR="00AD471E" w:rsidRPr="00AD471E">
        <w:t>to discriminate and the test eith</w:t>
      </w:r>
      <w:r w:rsidR="00AD471E">
        <w:t xml:space="preserve">er does not have a significant </w:t>
      </w:r>
      <w:r w:rsidR="00AD471E" w:rsidRPr="00AD471E">
        <w:t>adverse impact on protected groups or is shown to be job</w:t>
      </w:r>
      <w:r w:rsidR="0094374B">
        <w:t>-</w:t>
      </w:r>
      <w:r w:rsidR="00AD471E" w:rsidRPr="00AD471E">
        <w:t>related</w:t>
      </w:r>
      <w:r w:rsidR="005776CF">
        <w:t xml:space="preserve"> (</w:t>
      </w:r>
      <w:r w:rsidR="005776CF" w:rsidRPr="00752A8E">
        <w:t>A</w:t>
      </w:r>
      <w:r w:rsidR="005776CF">
        <w:t>she</w:t>
      </w:r>
      <w:r w:rsidR="005776CF" w:rsidRPr="00752A8E">
        <w:t xml:space="preserve"> &amp; Lundquist</w:t>
      </w:r>
      <w:r w:rsidR="005776CF">
        <w:t>, 2010)</w:t>
      </w:r>
      <w:r w:rsidR="00AD471E" w:rsidRPr="00AD471E">
        <w:t>.</w:t>
      </w:r>
    </w:p>
    <w:p w14:paraId="63B14232" w14:textId="2F3E0287" w:rsidR="00F76F1F" w:rsidRDefault="00AD471E" w:rsidP="00426773">
      <w:pPr>
        <w:ind w:firstLine="720"/>
      </w:pPr>
      <w:r>
        <w:t>These legal and professional standards have various implications for organizations that use assessment for employment decisions. For starters, t</w:t>
      </w:r>
      <w:r w:rsidRPr="00AD471E">
        <w:t>he greater the adverse</w:t>
      </w:r>
      <w:r>
        <w:t xml:space="preserve"> </w:t>
      </w:r>
      <w:r w:rsidRPr="00AD471E">
        <w:t>impact, the higher the correlation and t</w:t>
      </w:r>
      <w:r>
        <w:t xml:space="preserve">he better the validity evidence </w:t>
      </w:r>
      <w:r w:rsidRPr="00AD471E">
        <w:t>must be to defend the assessmen</w:t>
      </w:r>
      <w:r>
        <w:t>t</w:t>
      </w:r>
      <w:r w:rsidR="005776CF">
        <w:t xml:space="preserve"> (</w:t>
      </w:r>
      <w:r w:rsidR="005776CF" w:rsidRPr="00752A8E">
        <w:t>A</w:t>
      </w:r>
      <w:r w:rsidR="005776CF">
        <w:t>she</w:t>
      </w:r>
      <w:r w:rsidR="005776CF" w:rsidRPr="00752A8E">
        <w:t xml:space="preserve"> &amp; Lundquist</w:t>
      </w:r>
      <w:r w:rsidR="005776CF">
        <w:t>, 2010)</w:t>
      </w:r>
      <w:r>
        <w:t xml:space="preserve">. Similarly, the more critical </w:t>
      </w:r>
      <w:r w:rsidRPr="00AD471E">
        <w:t>the impact of successful jo</w:t>
      </w:r>
      <w:r>
        <w:t xml:space="preserve">b performance, the more lenient </w:t>
      </w:r>
      <w:r w:rsidRPr="00AD471E">
        <w:t>the validity standard becomes</w:t>
      </w:r>
      <w:r w:rsidR="005776CF">
        <w:t xml:space="preserve"> (</w:t>
      </w:r>
      <w:r w:rsidR="005776CF" w:rsidRPr="00752A8E">
        <w:t>A</w:t>
      </w:r>
      <w:r w:rsidR="005776CF">
        <w:t>she</w:t>
      </w:r>
      <w:r w:rsidR="005776CF" w:rsidRPr="00752A8E">
        <w:t xml:space="preserve"> &amp; Lundquist</w:t>
      </w:r>
      <w:r w:rsidR="005776CF">
        <w:t>, 2010)</w:t>
      </w:r>
      <w:r w:rsidRPr="00AD471E">
        <w:t xml:space="preserve">. </w:t>
      </w:r>
      <w:r>
        <w:t>Additionally, e</w:t>
      </w:r>
      <w:r w:rsidRPr="00AD471E">
        <w:t>mployers can safeguard against claims that their assessment procedures are overly subjective by providing proper training and direction to evaluate candidates on core and functional competencies</w:t>
      </w:r>
      <w:r w:rsidR="005776CF">
        <w:t xml:space="preserve"> (</w:t>
      </w:r>
      <w:r w:rsidR="005776CF" w:rsidRPr="00752A8E">
        <w:t>A</w:t>
      </w:r>
      <w:r w:rsidR="005776CF">
        <w:t>she</w:t>
      </w:r>
      <w:r w:rsidR="005776CF" w:rsidRPr="00752A8E">
        <w:t xml:space="preserve"> &amp; Lundquist</w:t>
      </w:r>
      <w:r w:rsidR="005776CF">
        <w:t>, 2010)</w:t>
      </w:r>
      <w:r w:rsidRPr="00AD471E">
        <w:t xml:space="preserve">. </w:t>
      </w:r>
      <w:r>
        <w:t>Furthermore, when using cutoff scores for these tests</w:t>
      </w:r>
      <w:r w:rsidRPr="00AD471E">
        <w:t>,</w:t>
      </w:r>
      <w:r>
        <w:t xml:space="preserve"> the cutoff score </w:t>
      </w:r>
      <w:r w:rsidRPr="00AD471E">
        <w:t xml:space="preserve">must be valid, requiring the employer to show that the score adequately differentiates those who can </w:t>
      </w:r>
      <w:r w:rsidRPr="00AD471E">
        <w:lastRenderedPageBreak/>
        <w:t>perform th</w:t>
      </w:r>
      <w:r>
        <w:t>e job satisfactorily</w:t>
      </w:r>
      <w:r w:rsidRPr="00AD471E">
        <w:t xml:space="preserve"> from those who cannot</w:t>
      </w:r>
      <w:r w:rsidR="005776CF">
        <w:t xml:space="preserve"> (</w:t>
      </w:r>
      <w:r w:rsidR="005776CF" w:rsidRPr="00752A8E">
        <w:t>A</w:t>
      </w:r>
      <w:r w:rsidR="005776CF">
        <w:t>she</w:t>
      </w:r>
      <w:r w:rsidR="005776CF" w:rsidRPr="00752A8E">
        <w:t xml:space="preserve"> &amp; Lundquist</w:t>
      </w:r>
      <w:r w:rsidR="005776CF">
        <w:t>, 2010)</w:t>
      </w:r>
      <w:r w:rsidRPr="00AD471E">
        <w:t xml:space="preserve">. </w:t>
      </w:r>
      <w:r w:rsidR="0094374B">
        <w:t>Moreover</w:t>
      </w:r>
      <w:r w:rsidRPr="00AD471E">
        <w:t xml:space="preserve">, </w:t>
      </w:r>
      <w:r>
        <w:t>the selection and justifi</w:t>
      </w:r>
      <w:r w:rsidRPr="00AD471E">
        <w:t>cation of a</w:t>
      </w:r>
      <w:r w:rsidR="00E33AF2">
        <w:t xml:space="preserve"> cutoff score may imply</w:t>
      </w:r>
      <w:r w:rsidRPr="00AD471E">
        <w:t xml:space="preserve"> that there </w:t>
      </w:r>
      <w:r w:rsidR="0094374B">
        <w:t>are</w:t>
      </w:r>
      <w:r w:rsidRPr="00AD471E">
        <w:t xml:space="preserve"> one or more less discriminatory alternatives</w:t>
      </w:r>
      <w:r>
        <w:t xml:space="preserve"> </w:t>
      </w:r>
      <w:r w:rsidRPr="00AD471E">
        <w:t>known to the employer</w:t>
      </w:r>
      <w:r w:rsidR="005776CF">
        <w:t xml:space="preserve"> (</w:t>
      </w:r>
      <w:r w:rsidR="005776CF" w:rsidRPr="00752A8E">
        <w:t>A</w:t>
      </w:r>
      <w:r w:rsidR="005776CF">
        <w:t>she</w:t>
      </w:r>
      <w:r w:rsidR="005776CF" w:rsidRPr="00752A8E">
        <w:t xml:space="preserve"> &amp; Lundquist</w:t>
      </w:r>
      <w:r w:rsidR="005776CF">
        <w:t>, 2010)</w:t>
      </w:r>
      <w:r w:rsidRPr="00AD471E">
        <w:t>.</w:t>
      </w:r>
    </w:p>
    <w:p w14:paraId="3F11F3A5" w14:textId="3CA50227" w:rsidR="00F76F1F" w:rsidRDefault="00AD471E" w:rsidP="00426773">
      <w:pPr>
        <w:ind w:firstLine="720"/>
      </w:pPr>
      <w:r>
        <w:t>According to Scott and Pearlman (2010), various steps can be followed by organizations to use assessment to facilitate organization</w:t>
      </w:r>
      <w:r w:rsidR="0094374B">
        <w:t>al</w:t>
      </w:r>
      <w:r>
        <w:t xml:space="preserve"> change. Firstly, organizations should create guiding policies and tools, after which they should establish an effective communication strategy. Next, they should identify the positions that need staffing decisions, create job requirements for these positions, then develop and validate assessment tools. By utilizing an effective com</w:t>
      </w:r>
      <w:r w:rsidR="00752A8E">
        <w:t xml:space="preserve">munication strategy, </w:t>
      </w:r>
      <w:r w:rsidR="00E33AF2">
        <w:t>t</w:t>
      </w:r>
      <w:r w:rsidR="00752A8E">
        <w:t xml:space="preserve">he employees can be effectively trained and allowed to provide feedback about the assessment tools and their adverse effects (Rodriguez </w:t>
      </w:r>
      <w:r w:rsidR="00752A8E" w:rsidRPr="00752A8E">
        <w:t>&amp; Walters</w:t>
      </w:r>
      <w:r w:rsidR="00752A8E">
        <w:t xml:space="preserve">, 2017). Thus, the organization can determine how to minimize the adverse impact to avoid legal liabilities. </w:t>
      </w:r>
      <w:r w:rsidR="00E33AF2">
        <w:t>By focusing on the positions that require staffing only and clarifying the requirements for these positions, organizations can avoid legal liabilities due to tests that are overly subjective. By validating the assessment tools, organizations can obtain valid evidence which can be required in legal settings when defending the assessment tools</w:t>
      </w:r>
      <w:r w:rsidR="00752A8E">
        <w:t xml:space="preserve"> that have adverse impacts.</w:t>
      </w:r>
    </w:p>
    <w:p w14:paraId="0214C53B" w14:textId="77777777" w:rsidR="00D70766" w:rsidRDefault="00D70766" w:rsidP="002561A5">
      <w:pPr>
        <w:jc w:val="center"/>
        <w:rPr>
          <w:b/>
        </w:rPr>
      </w:pPr>
      <w:r>
        <w:rPr>
          <w:b/>
        </w:rPr>
        <w:br w:type="page"/>
      </w:r>
    </w:p>
    <w:p w14:paraId="71D741C5" w14:textId="05329F45" w:rsidR="00F76F1F" w:rsidRDefault="00752A8E" w:rsidP="002561A5">
      <w:pPr>
        <w:jc w:val="center"/>
        <w:rPr>
          <w:b/>
        </w:rPr>
      </w:pPr>
      <w:r>
        <w:rPr>
          <w:b/>
        </w:rPr>
        <w:lastRenderedPageBreak/>
        <w:t>References</w:t>
      </w:r>
    </w:p>
    <w:p w14:paraId="53ED40B1" w14:textId="77777777" w:rsidR="002561A5" w:rsidRDefault="002561A5" w:rsidP="002561A5">
      <w:pPr>
        <w:ind w:left="720" w:hanging="720"/>
        <w:rPr>
          <w:rStyle w:val="Hyperlink"/>
        </w:rPr>
      </w:pPr>
      <w:r w:rsidRPr="00752A8E">
        <w:t>Ashe Jr., R. L. &amp; Lundquist, K. K.</w:t>
      </w:r>
      <w:r>
        <w:t xml:space="preserve"> (2010</w:t>
      </w:r>
      <w:r w:rsidRPr="00752A8E">
        <w:t>)</w:t>
      </w:r>
      <w:r>
        <w:t xml:space="preserve"> </w:t>
      </w:r>
      <w:r w:rsidRPr="005776CF">
        <w:t>Chapter 20: The L</w:t>
      </w:r>
      <w:r>
        <w:t xml:space="preserve">egal Environment for Assessment. In Scott, J. C. &amp; Reynolds, D. H. (Eds.). (2010). </w:t>
      </w:r>
      <w:r>
        <w:rPr>
          <w:i/>
        </w:rPr>
        <w:t>Handbook of workplace assessment.</w:t>
      </w:r>
      <w:r>
        <w:t xml:space="preserve"> Pp 643-650. Retrieved from </w:t>
      </w:r>
      <w:hyperlink r:id="rId6" w:history="1">
        <w:r>
          <w:rPr>
            <w:rStyle w:val="Hyperlink"/>
          </w:rPr>
          <w:t>https://redshelf.com</w:t>
        </w:r>
      </w:hyperlink>
    </w:p>
    <w:p w14:paraId="4FD7A5D5" w14:textId="77777777" w:rsidR="002561A5" w:rsidRPr="00752A8E" w:rsidRDefault="002561A5" w:rsidP="002561A5">
      <w:pPr>
        <w:ind w:left="720" w:hanging="720"/>
      </w:pPr>
      <w:r w:rsidRPr="00752A8E">
        <w:t>Rodriguez, J., &amp; Walters, K. (2017). The importance of training and development in employee performance and evaluation. World Wide Journal of Multidisciplinary Research and Development, 3(10), 206-212.</w:t>
      </w:r>
    </w:p>
    <w:p w14:paraId="1F01CCEC" w14:textId="77777777" w:rsidR="002561A5" w:rsidRDefault="002561A5" w:rsidP="002561A5">
      <w:pPr>
        <w:ind w:left="720" w:hanging="720"/>
        <w:rPr>
          <w:rStyle w:val="Hyperlink"/>
        </w:rPr>
      </w:pPr>
      <w:r>
        <w:t>Scott, J. C. &amp; Pearlman, K.</w:t>
      </w:r>
      <w:r w:rsidRPr="00752A8E">
        <w:t xml:space="preserve"> </w:t>
      </w:r>
      <w:r>
        <w:t xml:space="preserve">(2010). </w:t>
      </w:r>
      <w:r w:rsidRPr="00752A8E">
        <w:t>Chapter 17: Assessment for Organizational Change: Mergers, Restructuring, and Downsizing</w:t>
      </w:r>
      <w:r>
        <w:t xml:space="preserve">. In Scott, J. C. &amp; Reynolds, D. H. (Eds.). (2010). </w:t>
      </w:r>
      <w:r>
        <w:rPr>
          <w:i/>
        </w:rPr>
        <w:t>Handbook of workplace assessment.</w:t>
      </w:r>
      <w:r>
        <w:t xml:space="preserve"> Pp 533-550. Retrieved from </w:t>
      </w:r>
      <w:hyperlink r:id="rId7" w:history="1">
        <w:r>
          <w:rPr>
            <w:rStyle w:val="Hyperlink"/>
          </w:rPr>
          <w:t>https://redshelf.com</w:t>
        </w:r>
      </w:hyperlink>
    </w:p>
    <w:sectPr w:rsidR="002561A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705D0" w14:textId="77777777" w:rsidR="00AA6C4A" w:rsidRDefault="00AA6C4A" w:rsidP="001077EA">
      <w:pPr>
        <w:spacing w:after="0" w:line="240" w:lineRule="auto"/>
      </w:pPr>
      <w:r>
        <w:separator/>
      </w:r>
    </w:p>
  </w:endnote>
  <w:endnote w:type="continuationSeparator" w:id="0">
    <w:p w14:paraId="550F617D" w14:textId="77777777" w:rsidR="00AA6C4A" w:rsidRDefault="00AA6C4A" w:rsidP="00107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33335" w14:textId="77777777" w:rsidR="00AA6C4A" w:rsidRDefault="00AA6C4A" w:rsidP="001077EA">
      <w:pPr>
        <w:spacing w:after="0" w:line="240" w:lineRule="auto"/>
      </w:pPr>
      <w:r>
        <w:separator/>
      </w:r>
    </w:p>
  </w:footnote>
  <w:footnote w:type="continuationSeparator" w:id="0">
    <w:p w14:paraId="448E132C" w14:textId="77777777" w:rsidR="00AA6C4A" w:rsidRDefault="00AA6C4A" w:rsidP="00107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0697416"/>
      <w:docPartObj>
        <w:docPartGallery w:val="Page Numbers (Top of Page)"/>
        <w:docPartUnique/>
      </w:docPartObj>
    </w:sdtPr>
    <w:sdtEndPr>
      <w:rPr>
        <w:noProof/>
      </w:rPr>
    </w:sdtEndPr>
    <w:sdtContent>
      <w:p w14:paraId="2FF1B624" w14:textId="56D8F482" w:rsidR="001077EA" w:rsidRDefault="001077EA" w:rsidP="001077EA">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7MwNjI0MDcyMTBR0lEKTi0uzszPAykwrAUAtvo5fCwAAAA="/>
  </w:docVars>
  <w:rsids>
    <w:rsidRoot w:val="009D345D"/>
    <w:rsid w:val="001077EA"/>
    <w:rsid w:val="001F2C6D"/>
    <w:rsid w:val="002561A5"/>
    <w:rsid w:val="0031113A"/>
    <w:rsid w:val="00426773"/>
    <w:rsid w:val="005776CF"/>
    <w:rsid w:val="005D696D"/>
    <w:rsid w:val="00650215"/>
    <w:rsid w:val="00752A8E"/>
    <w:rsid w:val="00926814"/>
    <w:rsid w:val="0094374B"/>
    <w:rsid w:val="009B283B"/>
    <w:rsid w:val="009B725E"/>
    <w:rsid w:val="009D345D"/>
    <w:rsid w:val="00AA6C4A"/>
    <w:rsid w:val="00AB251A"/>
    <w:rsid w:val="00AD471E"/>
    <w:rsid w:val="00B87E8D"/>
    <w:rsid w:val="00C45B28"/>
    <w:rsid w:val="00CF2F19"/>
    <w:rsid w:val="00D70766"/>
    <w:rsid w:val="00E33AF2"/>
    <w:rsid w:val="00F76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2C30"/>
  <w15:docId w15:val="{364387DB-C434-483A-AE38-C9B3AA18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A8E"/>
    <w:rPr>
      <w:color w:val="0000FF" w:themeColor="hyperlink"/>
      <w:u w:val="single"/>
    </w:rPr>
  </w:style>
  <w:style w:type="paragraph" w:styleId="Header">
    <w:name w:val="header"/>
    <w:basedOn w:val="Normal"/>
    <w:link w:val="HeaderChar"/>
    <w:uiPriority w:val="99"/>
    <w:unhideWhenUsed/>
    <w:rsid w:val="00107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7EA"/>
    <w:rPr>
      <w:rFonts w:ascii="Times New Roman" w:hAnsi="Times New Roman"/>
      <w:sz w:val="24"/>
    </w:rPr>
  </w:style>
  <w:style w:type="paragraph" w:styleId="Footer">
    <w:name w:val="footer"/>
    <w:basedOn w:val="Normal"/>
    <w:link w:val="FooterChar"/>
    <w:uiPriority w:val="99"/>
    <w:unhideWhenUsed/>
    <w:rsid w:val="00107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7E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dshelf.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4</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12</cp:revision>
  <dcterms:created xsi:type="dcterms:W3CDTF">2021-09-01T09:52:00Z</dcterms:created>
  <dcterms:modified xsi:type="dcterms:W3CDTF">2021-09-01T13:46:00Z</dcterms:modified>
</cp:coreProperties>
</file>